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77B55" w14:textId="442C5B06" w:rsidR="00715B34" w:rsidRDefault="00132DA0">
      <w:pPr>
        <w:pStyle w:val="BodyText"/>
        <w:spacing w:before="51"/>
        <w:ind w:left="659" w:right="115"/>
        <w:jc w:val="both"/>
      </w:pPr>
      <w:r>
        <w:t xml:space="preserve">This document provides a summary of substantive changes to certain sections of the Chicago Housing Authority’s </w:t>
      </w:r>
      <w:r w:rsidR="0033452D">
        <w:t xml:space="preserve">(CHA) </w:t>
      </w:r>
      <w:r>
        <w:t xml:space="preserve">proposed </w:t>
      </w:r>
      <w:r w:rsidR="00F2510D">
        <w:t>FY</w:t>
      </w:r>
      <w:r>
        <w:t>202</w:t>
      </w:r>
      <w:r w:rsidR="00B84A32">
        <w:t>5</w:t>
      </w:r>
      <w:r>
        <w:t xml:space="preserve"> Admissions and Continued Occupancy Policy (ACOP). Additional language improvements, updates, and section organizational changes were also implemented.</w:t>
      </w:r>
    </w:p>
    <w:p w14:paraId="181375E6" w14:textId="07ABF319" w:rsidR="00715B34" w:rsidRDefault="00715B34">
      <w:pPr>
        <w:pStyle w:val="BodyText"/>
        <w:spacing w:before="1"/>
      </w:pPr>
    </w:p>
    <w:p w14:paraId="0CC77E7D" w14:textId="634645C0" w:rsidR="00794937" w:rsidRDefault="00794937" w:rsidP="00794937">
      <w:pPr>
        <w:pStyle w:val="Heading1"/>
      </w:pPr>
      <w:r>
        <w:rPr>
          <w:color w:val="006B3E"/>
        </w:rPr>
        <w:t>HOUSING OPPORTUNITIES THROUGH MODERNIZATION</w:t>
      </w:r>
      <w:r w:rsidR="00C05811">
        <w:rPr>
          <w:color w:val="006B3E"/>
        </w:rPr>
        <w:t xml:space="preserve"> ACT</w:t>
      </w:r>
      <w:r>
        <w:rPr>
          <w:color w:val="006B3E"/>
        </w:rPr>
        <w:t xml:space="preserve"> (HOTMA) POLICIES</w:t>
      </w:r>
    </w:p>
    <w:p w14:paraId="44742B92" w14:textId="5F6AFA7B" w:rsidR="004D100C" w:rsidRDefault="004D100C" w:rsidP="00794937">
      <w:pPr>
        <w:ind w:left="660"/>
        <w:jc w:val="both"/>
        <w:rPr>
          <w:iCs/>
          <w:sz w:val="24"/>
        </w:rPr>
      </w:pPr>
      <w:r>
        <w:rPr>
          <w:iCs/>
          <w:sz w:val="24"/>
        </w:rPr>
        <w:t>Multiple sections were updated to comply with federal regulations under HOTMA including the following notable changes.</w:t>
      </w:r>
      <w:r w:rsidR="00F71CFE">
        <w:rPr>
          <w:iCs/>
          <w:sz w:val="24"/>
        </w:rPr>
        <w:t xml:space="preserve">  The definitions of various terms (Section XIV) were also added or revised.</w:t>
      </w:r>
    </w:p>
    <w:p w14:paraId="37CEA08E" w14:textId="77777777" w:rsidR="004D100C" w:rsidRPr="004D100C" w:rsidRDefault="004D100C" w:rsidP="00794937">
      <w:pPr>
        <w:ind w:left="660"/>
        <w:jc w:val="both"/>
        <w:rPr>
          <w:iCs/>
          <w:sz w:val="24"/>
        </w:rPr>
      </w:pPr>
    </w:p>
    <w:p w14:paraId="5C4C3B07" w14:textId="62A3E424" w:rsidR="00794937" w:rsidRDefault="00794937" w:rsidP="00794937">
      <w:pPr>
        <w:ind w:left="660"/>
        <w:jc w:val="both"/>
        <w:rPr>
          <w:i/>
          <w:sz w:val="24"/>
        </w:rPr>
      </w:pPr>
      <w:r>
        <w:rPr>
          <w:i/>
          <w:sz w:val="24"/>
        </w:rPr>
        <w:t>Section</w:t>
      </w:r>
      <w:r>
        <w:rPr>
          <w:i/>
          <w:spacing w:val="-5"/>
          <w:sz w:val="24"/>
        </w:rPr>
        <w:t xml:space="preserve"> II</w:t>
      </w:r>
      <w:r>
        <w:rPr>
          <w:i/>
          <w:sz w:val="24"/>
        </w:rPr>
        <w:t>.B</w:t>
      </w:r>
      <w:r>
        <w:rPr>
          <w:i/>
          <w:spacing w:val="-3"/>
          <w:sz w:val="24"/>
        </w:rPr>
        <w:t xml:space="preserve"> Processing of Applications and Eligibility for Admission; Qualifying for Admission Eligibility</w:t>
      </w:r>
    </w:p>
    <w:p w14:paraId="73816F87" w14:textId="46BC33AB" w:rsidR="00794937" w:rsidRDefault="00794937" w:rsidP="00794937">
      <w:pPr>
        <w:pStyle w:val="BodyText"/>
        <w:ind w:left="659" w:right="115"/>
        <w:jc w:val="both"/>
      </w:pPr>
      <w:r w:rsidRPr="00794937">
        <w:t xml:space="preserve">This section was revised to remove self-certification of </w:t>
      </w:r>
      <w:r w:rsidR="00B64C26">
        <w:t>S</w:t>
      </w:r>
      <w:r w:rsidRPr="00794937">
        <w:t xml:space="preserve">ocial </w:t>
      </w:r>
      <w:r w:rsidR="00B64C26">
        <w:t>S</w:t>
      </w:r>
      <w:r w:rsidRPr="00794937">
        <w:t xml:space="preserve">ecurity </w:t>
      </w:r>
      <w:r w:rsidR="00B64C26">
        <w:t>N</w:t>
      </w:r>
      <w:r w:rsidRPr="00794937">
        <w:t>umbers.</w:t>
      </w:r>
    </w:p>
    <w:p w14:paraId="74128539" w14:textId="7A1DEA67" w:rsidR="00640A18" w:rsidRDefault="00640A18" w:rsidP="009472E8">
      <w:pPr>
        <w:pStyle w:val="BodyText"/>
        <w:spacing w:before="1"/>
        <w:ind w:left="660" w:right="117"/>
        <w:jc w:val="both"/>
      </w:pPr>
    </w:p>
    <w:p w14:paraId="422147F4" w14:textId="3FBC9E62" w:rsidR="00794937" w:rsidRDefault="00794937" w:rsidP="00794937">
      <w:pPr>
        <w:pStyle w:val="BodyText"/>
        <w:ind w:left="659" w:right="115"/>
        <w:jc w:val="both"/>
        <w:rPr>
          <w:i/>
          <w:spacing w:val="-3"/>
        </w:rPr>
      </w:pPr>
      <w:r>
        <w:rPr>
          <w:i/>
        </w:rPr>
        <w:t>Section</w:t>
      </w:r>
      <w:r>
        <w:rPr>
          <w:i/>
          <w:spacing w:val="-5"/>
        </w:rPr>
        <w:t xml:space="preserve"> II</w:t>
      </w:r>
      <w:r>
        <w:rPr>
          <w:i/>
        </w:rPr>
        <w:t>.G</w:t>
      </w:r>
      <w:r>
        <w:rPr>
          <w:i/>
          <w:spacing w:val="-3"/>
        </w:rPr>
        <w:t xml:space="preserve"> Processing of Applications and Eligibility for Admission; Admissions Screening Criteria</w:t>
      </w:r>
    </w:p>
    <w:p w14:paraId="069D6AFD" w14:textId="22739215" w:rsidR="00794937" w:rsidRDefault="00C05811" w:rsidP="00794937">
      <w:pPr>
        <w:pStyle w:val="BodyText"/>
        <w:ind w:left="659" w:right="115"/>
        <w:jc w:val="both"/>
      </w:pPr>
      <w:r>
        <w:t>For applicants at the time of screening for admission eligibility, p</w:t>
      </w:r>
      <w:r w:rsidR="00794937">
        <w:t xml:space="preserve">olicy language was </w:t>
      </w:r>
      <w:r w:rsidR="004D100C">
        <w:t>revised</w:t>
      </w:r>
      <w:r w:rsidR="00794937">
        <w:t xml:space="preserve"> regarding the asset limit of $100,000 and the </w:t>
      </w:r>
      <w:r w:rsidR="00B64C26">
        <w:t xml:space="preserve">prohibition of </w:t>
      </w:r>
      <w:r w:rsidR="00794937">
        <w:t>ownership of real property</w:t>
      </w:r>
      <w:r w:rsidR="00B64C26">
        <w:t xml:space="preserve"> suitable for occupancy, with specified exceptions</w:t>
      </w:r>
      <w:r w:rsidR="00794937">
        <w:t>.</w:t>
      </w:r>
    </w:p>
    <w:p w14:paraId="68B65D9D" w14:textId="373234F7" w:rsidR="00794937" w:rsidRDefault="00794937" w:rsidP="009472E8">
      <w:pPr>
        <w:pStyle w:val="BodyText"/>
        <w:spacing w:before="1"/>
        <w:ind w:left="660" w:right="117"/>
        <w:jc w:val="both"/>
      </w:pPr>
    </w:p>
    <w:p w14:paraId="663A7469" w14:textId="7C24A3BF" w:rsidR="00B64C26" w:rsidRDefault="00B64C26" w:rsidP="00B64C26">
      <w:pPr>
        <w:pStyle w:val="BodyText"/>
        <w:ind w:left="659" w:right="115"/>
        <w:jc w:val="both"/>
        <w:rPr>
          <w:i/>
          <w:spacing w:val="-3"/>
        </w:rPr>
      </w:pPr>
      <w:r>
        <w:rPr>
          <w:i/>
        </w:rPr>
        <w:t>Section</w:t>
      </w:r>
      <w:r>
        <w:rPr>
          <w:i/>
          <w:spacing w:val="-5"/>
        </w:rPr>
        <w:t xml:space="preserve"> VI</w:t>
      </w:r>
      <w:r>
        <w:rPr>
          <w:i/>
        </w:rPr>
        <w:t>.A</w:t>
      </w:r>
      <w:r>
        <w:rPr>
          <w:i/>
          <w:spacing w:val="-3"/>
        </w:rPr>
        <w:t xml:space="preserve"> Re-Examinations of Income and Family Circumstances; Eligibility for Continued Occupancy</w:t>
      </w:r>
    </w:p>
    <w:p w14:paraId="2F75563C" w14:textId="4475C3D3" w:rsidR="00B64C26" w:rsidRDefault="00B64C26" w:rsidP="00B64C26">
      <w:pPr>
        <w:pStyle w:val="BodyText"/>
        <w:ind w:left="659" w:right="115"/>
        <w:jc w:val="both"/>
      </w:pPr>
      <w:r w:rsidRPr="00794937">
        <w:t xml:space="preserve">This section was revised to </w:t>
      </w:r>
      <w:r w:rsidR="004D100C">
        <w:t>clarify the</w:t>
      </w:r>
      <w:r>
        <w:t xml:space="preserve"> list the acceptable forms of Social Security Number verification.</w:t>
      </w:r>
    </w:p>
    <w:p w14:paraId="0892BB15" w14:textId="7B827944" w:rsidR="00B64C26" w:rsidRDefault="00B64C26" w:rsidP="00B64C26">
      <w:pPr>
        <w:pStyle w:val="BodyText"/>
        <w:ind w:left="659" w:right="115"/>
        <w:jc w:val="both"/>
      </w:pPr>
    </w:p>
    <w:p w14:paraId="764B94FE" w14:textId="35BF1D1F" w:rsidR="00B64C26" w:rsidRDefault="00B64C26" w:rsidP="00B64C26">
      <w:pPr>
        <w:pStyle w:val="BodyText"/>
        <w:ind w:left="659" w:right="115"/>
        <w:jc w:val="both"/>
        <w:rPr>
          <w:i/>
          <w:spacing w:val="-3"/>
        </w:rPr>
      </w:pPr>
      <w:r>
        <w:rPr>
          <w:i/>
        </w:rPr>
        <w:t>Section</w:t>
      </w:r>
      <w:r>
        <w:rPr>
          <w:i/>
          <w:spacing w:val="-5"/>
        </w:rPr>
        <w:t xml:space="preserve"> VI</w:t>
      </w:r>
      <w:r>
        <w:rPr>
          <w:i/>
        </w:rPr>
        <w:t>.B</w:t>
      </w:r>
      <w:r>
        <w:rPr>
          <w:i/>
          <w:spacing w:val="-3"/>
        </w:rPr>
        <w:t xml:space="preserve"> Re-Examinations of Income and Family Circumstances; Re-Examinations</w:t>
      </w:r>
    </w:p>
    <w:p w14:paraId="78019C03" w14:textId="46B7F65C" w:rsidR="00B64C26" w:rsidRDefault="00C05811" w:rsidP="00B64C26">
      <w:pPr>
        <w:pStyle w:val="BodyText"/>
        <w:ind w:left="659" w:right="115"/>
        <w:jc w:val="both"/>
      </w:pPr>
      <w:r>
        <w:t>For residents at the time of re-examination for continued occupancy, p</w:t>
      </w:r>
      <w:r w:rsidR="00B64C26">
        <w:t xml:space="preserve">olicy language was </w:t>
      </w:r>
      <w:r w:rsidR="004D100C">
        <w:t>revised</w:t>
      </w:r>
      <w:r w:rsidR="00B64C26">
        <w:t xml:space="preserve"> regarding the asset limit of $100,000 and the prohibition of ownership of real property suitable for occupancy, with specified exceptions.</w:t>
      </w:r>
    </w:p>
    <w:p w14:paraId="381DF8CB" w14:textId="77777777" w:rsidR="00B64C26" w:rsidRDefault="00B64C26" w:rsidP="00B64C26">
      <w:pPr>
        <w:pStyle w:val="BodyText"/>
        <w:ind w:left="659" w:right="115"/>
        <w:jc w:val="both"/>
      </w:pPr>
    </w:p>
    <w:p w14:paraId="03971DFC" w14:textId="3FA361E2" w:rsidR="00B64C26" w:rsidRDefault="00B64C26" w:rsidP="00B64C26">
      <w:pPr>
        <w:pStyle w:val="BodyText"/>
        <w:ind w:left="659" w:right="115"/>
        <w:jc w:val="both"/>
        <w:rPr>
          <w:i/>
          <w:spacing w:val="-3"/>
        </w:rPr>
      </w:pPr>
      <w:r>
        <w:rPr>
          <w:i/>
        </w:rPr>
        <w:t>Section</w:t>
      </w:r>
      <w:r>
        <w:rPr>
          <w:i/>
          <w:spacing w:val="-5"/>
        </w:rPr>
        <w:t xml:space="preserve"> XI Determining Income and Rent</w:t>
      </w:r>
    </w:p>
    <w:p w14:paraId="5765F24F" w14:textId="6F8ECAEF" w:rsidR="00B64C26" w:rsidRDefault="004D100C" w:rsidP="00B64C26">
      <w:pPr>
        <w:pStyle w:val="BodyText"/>
        <w:ind w:left="659" w:right="115"/>
        <w:jc w:val="both"/>
      </w:pPr>
      <w:r>
        <w:t xml:space="preserve">The </w:t>
      </w:r>
      <w:r w:rsidR="00C05811">
        <w:t xml:space="preserve">section regarding the </w:t>
      </w:r>
      <w:r>
        <w:t>income from family assets limit of $50,000 w</w:t>
      </w:r>
      <w:r w:rsidR="00C05811">
        <w:t>as</w:t>
      </w:r>
      <w:r>
        <w:t xml:space="preserve"> revised.</w:t>
      </w:r>
      <w:r w:rsidR="00B64C26">
        <w:t xml:space="preserve">  </w:t>
      </w:r>
      <w:r>
        <w:t>Additional revisions were included regarding assets, childcare expenses, attendant care expenses, medical expenses</w:t>
      </w:r>
      <w:r w:rsidR="00C05811">
        <w:t>, and student financial assistance</w:t>
      </w:r>
      <w:r>
        <w:t xml:space="preserve">.  </w:t>
      </w:r>
      <w:r w:rsidR="00B64C26">
        <w:t xml:space="preserve">The </w:t>
      </w:r>
      <w:r w:rsidR="00F71CFE">
        <w:t>Determining Income and Rent section</w:t>
      </w:r>
      <w:r w:rsidR="00B64C26">
        <w:t xml:space="preserve"> was also reformatted for clarity.</w:t>
      </w:r>
    </w:p>
    <w:p w14:paraId="1C26B4E9" w14:textId="34BC1192" w:rsidR="00794937" w:rsidRDefault="00794937" w:rsidP="009472E8">
      <w:pPr>
        <w:pStyle w:val="BodyText"/>
        <w:spacing w:before="1"/>
        <w:ind w:left="660" w:right="117"/>
        <w:jc w:val="both"/>
      </w:pPr>
    </w:p>
    <w:p w14:paraId="6D760CE0" w14:textId="72E751EC" w:rsidR="004D100C" w:rsidRDefault="004D100C" w:rsidP="004D100C">
      <w:pPr>
        <w:pStyle w:val="Heading1"/>
      </w:pPr>
      <w:r>
        <w:rPr>
          <w:color w:val="006B3E"/>
        </w:rPr>
        <w:t>CHICAGO FAIR NOTICE ORDINANCE</w:t>
      </w:r>
    </w:p>
    <w:p w14:paraId="5383226C" w14:textId="608CE2FD" w:rsidR="004D100C" w:rsidRDefault="004D100C" w:rsidP="004D100C">
      <w:pPr>
        <w:pStyle w:val="BodyText"/>
        <w:ind w:left="659" w:right="115"/>
        <w:jc w:val="both"/>
        <w:rPr>
          <w:i/>
          <w:spacing w:val="-3"/>
        </w:rPr>
      </w:pPr>
      <w:r>
        <w:rPr>
          <w:i/>
        </w:rPr>
        <w:t>Section</w:t>
      </w:r>
      <w:r>
        <w:rPr>
          <w:i/>
          <w:spacing w:val="-5"/>
        </w:rPr>
        <w:t xml:space="preserve"> VII</w:t>
      </w:r>
      <w:r w:rsidR="00F71CFE">
        <w:rPr>
          <w:i/>
          <w:spacing w:val="-5"/>
        </w:rPr>
        <w:t>.E</w:t>
      </w:r>
      <w:r>
        <w:rPr>
          <w:i/>
          <w:spacing w:val="-5"/>
        </w:rPr>
        <w:t xml:space="preserve"> Interim Adjustments For Rent &amp; Family Composition</w:t>
      </w:r>
      <w:r w:rsidR="00F71CFE">
        <w:rPr>
          <w:i/>
          <w:spacing w:val="-5"/>
        </w:rPr>
        <w:t>; Interim Adjustment Procedures</w:t>
      </w:r>
    </w:p>
    <w:p w14:paraId="68CC6C70" w14:textId="42766A45" w:rsidR="004D100C" w:rsidRDefault="004D100C" w:rsidP="004D100C">
      <w:pPr>
        <w:pStyle w:val="BodyText"/>
        <w:ind w:left="659" w:right="115"/>
        <w:jc w:val="both"/>
      </w:pPr>
      <w:r>
        <w:t>Policy language was added for CHA to provide a Notice of Possible Rent Increase a minimum of 120 days prior to the scheduled re-examination to further comply with the Chicago Fair Notice Ordinance.</w:t>
      </w:r>
      <w:r w:rsidR="00F71CFE">
        <w:t xml:space="preserve">  The Interim Adjustments section was also reformatted for clarity.</w:t>
      </w:r>
    </w:p>
    <w:p w14:paraId="64275209" w14:textId="77777777" w:rsidR="004D100C" w:rsidRDefault="004D100C" w:rsidP="009472E8">
      <w:pPr>
        <w:pStyle w:val="BodyText"/>
        <w:spacing w:before="1"/>
        <w:ind w:left="660" w:right="117"/>
        <w:jc w:val="both"/>
      </w:pPr>
    </w:p>
    <w:p w14:paraId="2DEB17BB" w14:textId="2028A472" w:rsidR="00D87FF7" w:rsidRDefault="00574AC6" w:rsidP="00D87FF7">
      <w:pPr>
        <w:pStyle w:val="Heading1"/>
      </w:pPr>
      <w:r>
        <w:rPr>
          <w:color w:val="006B3E"/>
        </w:rPr>
        <w:t>EVICTION PREVENTION POLICIES</w:t>
      </w:r>
    </w:p>
    <w:p w14:paraId="2EFA2F89" w14:textId="15E08D92" w:rsidR="00D87FF7" w:rsidRDefault="00D87FF7" w:rsidP="00D87FF7">
      <w:pPr>
        <w:ind w:left="660"/>
        <w:jc w:val="both"/>
        <w:rPr>
          <w:i/>
          <w:sz w:val="24"/>
        </w:rPr>
      </w:pPr>
      <w:r>
        <w:rPr>
          <w:i/>
          <w:sz w:val="24"/>
        </w:rPr>
        <w:t>Section</w:t>
      </w:r>
      <w:r>
        <w:rPr>
          <w:i/>
          <w:spacing w:val="-5"/>
          <w:sz w:val="24"/>
        </w:rPr>
        <w:t xml:space="preserve"> </w:t>
      </w:r>
      <w:r w:rsidR="00C96577">
        <w:rPr>
          <w:i/>
          <w:spacing w:val="-5"/>
          <w:sz w:val="24"/>
        </w:rPr>
        <w:t>XIII</w:t>
      </w:r>
      <w:r>
        <w:rPr>
          <w:i/>
          <w:sz w:val="24"/>
        </w:rPr>
        <w:t>.</w:t>
      </w:r>
      <w:r w:rsidR="004D100C">
        <w:rPr>
          <w:i/>
          <w:sz w:val="24"/>
        </w:rPr>
        <w:t>D</w:t>
      </w:r>
      <w:r>
        <w:rPr>
          <w:i/>
          <w:spacing w:val="-3"/>
          <w:sz w:val="24"/>
        </w:rPr>
        <w:t xml:space="preserve"> </w:t>
      </w:r>
      <w:r w:rsidR="00C96577">
        <w:rPr>
          <w:i/>
          <w:spacing w:val="-3"/>
          <w:sz w:val="24"/>
        </w:rPr>
        <w:t>Lease Termination</w:t>
      </w:r>
      <w:r w:rsidR="004D100C">
        <w:rPr>
          <w:i/>
          <w:spacing w:val="-3"/>
          <w:sz w:val="24"/>
        </w:rPr>
        <w:t>; Eviction Prevention and Referrals to Social Services</w:t>
      </w:r>
    </w:p>
    <w:p w14:paraId="7A230879" w14:textId="4BEF5439" w:rsidR="0029663F" w:rsidRDefault="0039790D" w:rsidP="00F71CFE">
      <w:pPr>
        <w:pStyle w:val="BodyText"/>
        <w:spacing w:before="1"/>
        <w:ind w:left="660" w:right="117"/>
        <w:jc w:val="both"/>
      </w:pPr>
      <w:r>
        <w:t xml:space="preserve">This section outlines the policies for lease termination.  Policy language was </w:t>
      </w:r>
      <w:r w:rsidR="00BE61B5">
        <w:t xml:space="preserve">added to this section to encourage various steps that should be </w:t>
      </w:r>
      <w:r w:rsidR="009E0D5F">
        <w:t>taken to prevent</w:t>
      </w:r>
      <w:r>
        <w:t xml:space="preserve"> eviction</w:t>
      </w:r>
      <w:r w:rsidR="002650A8">
        <w:t>s, such as r</w:t>
      </w:r>
      <w:r w:rsidR="00155599" w:rsidRPr="00155599">
        <w:t xml:space="preserve">eferrals </w:t>
      </w:r>
      <w:r w:rsidR="002650A8">
        <w:t xml:space="preserve">to FamilyWorks and other support systems.  The purpose of this language is to </w:t>
      </w:r>
      <w:r w:rsidR="00440A78">
        <w:t xml:space="preserve">reduce the number of preventable evictions and reduce administrative and legal costs for pursuing evictions.  </w:t>
      </w:r>
      <w:r w:rsidR="00C67644">
        <w:t xml:space="preserve">This may increase participation </w:t>
      </w:r>
      <w:r w:rsidR="00680BA4">
        <w:t xml:space="preserve">in programs to help residents to be able to pay their rent or avoid lease violations.  </w:t>
      </w:r>
      <w:r w:rsidR="00440A78">
        <w:t xml:space="preserve">The language will not prevent </w:t>
      </w:r>
      <w:r w:rsidR="007125FB">
        <w:t xml:space="preserve">evictions from occurring in cases where it is necessary, such as </w:t>
      </w:r>
      <w:r w:rsidR="005B5A0F">
        <w:t xml:space="preserve">enforcement of </w:t>
      </w:r>
      <w:r w:rsidR="007125FB">
        <w:t xml:space="preserve">criminal </w:t>
      </w:r>
      <w:r w:rsidR="00C67644">
        <w:t>case</w:t>
      </w:r>
      <w:r w:rsidR="005B5A0F">
        <w:t>s</w:t>
      </w:r>
      <w:r w:rsidR="00C67644">
        <w:t>.</w:t>
      </w:r>
    </w:p>
    <w:sectPr w:rsidR="0029663F" w:rsidSect="006239AE">
      <w:headerReference w:type="default" r:id="rId9"/>
      <w:footerReference w:type="default" r:id="rId10"/>
      <w:pgSz w:w="12240" w:h="15840"/>
      <w:pgMar w:top="1880" w:right="810" w:bottom="280" w:left="45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CA7BF" w14:textId="77777777" w:rsidR="003C5C73" w:rsidRDefault="003C5C73">
      <w:r>
        <w:separator/>
      </w:r>
    </w:p>
  </w:endnote>
  <w:endnote w:type="continuationSeparator" w:id="0">
    <w:p w14:paraId="3E0283F3" w14:textId="77777777" w:rsidR="003C5C73" w:rsidRDefault="003C5C73">
      <w:r>
        <w:continuationSeparator/>
      </w:r>
    </w:p>
  </w:endnote>
  <w:endnote w:type="continuationNotice" w:id="1">
    <w:p w14:paraId="1471178E" w14:textId="77777777" w:rsidR="003C5C73" w:rsidRDefault="003C5C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F6ED7" w14:textId="77777777" w:rsidR="00357F5B" w:rsidRDefault="00357F5B">
    <w:pPr>
      <w:pStyle w:val="Footer"/>
    </w:pPr>
    <w:r>
      <w:t>Public</w:t>
    </w:r>
    <w:r>
      <w:rPr>
        <w:spacing w:val="-14"/>
      </w:rPr>
      <w:t xml:space="preserve"> </w:t>
    </w:r>
    <w:r>
      <w:t>Comment</w:t>
    </w:r>
    <w:r>
      <w:rPr>
        <w:spacing w:val="-14"/>
      </w:rPr>
      <w:t xml:space="preserve"> </w:t>
    </w:r>
    <w:r>
      <w:t xml:space="preserve">Period </w:t>
    </w:r>
  </w:p>
  <w:p w14:paraId="5952FFA5" w14:textId="5CF3937A" w:rsidR="00357F5B" w:rsidRDefault="00C05811">
    <w:pPr>
      <w:pStyle w:val="Footer"/>
    </w:pPr>
    <w:r>
      <w:t>May 8</w:t>
    </w:r>
    <w:r w:rsidR="00357F5B">
      <w:rPr>
        <w:spacing w:val="-1"/>
      </w:rPr>
      <w:t xml:space="preserve"> </w:t>
    </w:r>
    <w:r w:rsidR="009472E8">
      <w:t>–</w:t>
    </w:r>
    <w:r w:rsidR="00357F5B">
      <w:rPr>
        <w:spacing w:val="-2"/>
      </w:rPr>
      <w:t xml:space="preserve"> </w:t>
    </w:r>
    <w:r>
      <w:rPr>
        <w:spacing w:val="-2"/>
      </w:rPr>
      <w:t>June 6</w:t>
    </w:r>
    <w:r w:rsidR="00357F5B">
      <w:t>,</w:t>
    </w:r>
    <w:r w:rsidR="00330CC9">
      <w:t xml:space="preserve"> 202</w:t>
    </w:r>
    <w:r w:rsidR="001C6862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05DA3" w14:textId="77777777" w:rsidR="003C5C73" w:rsidRDefault="003C5C73">
      <w:r>
        <w:separator/>
      </w:r>
    </w:p>
  </w:footnote>
  <w:footnote w:type="continuationSeparator" w:id="0">
    <w:p w14:paraId="3F292BF6" w14:textId="77777777" w:rsidR="003C5C73" w:rsidRDefault="003C5C73">
      <w:r>
        <w:continuationSeparator/>
      </w:r>
    </w:p>
  </w:footnote>
  <w:footnote w:type="continuationNotice" w:id="1">
    <w:p w14:paraId="706E0942" w14:textId="77777777" w:rsidR="003C5C73" w:rsidRDefault="003C5C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BD67" w14:textId="7F5A42EB" w:rsidR="00715B34" w:rsidRDefault="00132DA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27C873C" wp14:editId="7E5CC1F7">
          <wp:simplePos x="0" y="0"/>
          <wp:positionH relativeFrom="page">
            <wp:posOffset>6533515</wp:posOffset>
          </wp:positionH>
          <wp:positionV relativeFrom="page">
            <wp:posOffset>457200</wp:posOffset>
          </wp:positionV>
          <wp:extent cx="711851" cy="672464"/>
          <wp:effectExtent l="0" t="0" r="0" b="0"/>
          <wp:wrapNone/>
          <wp:docPr id="21" name="Picture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851" cy="672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92DD1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1A970E92" wp14:editId="371A19BD">
              <wp:simplePos x="0" y="0"/>
              <wp:positionH relativeFrom="page">
                <wp:posOffset>1031875</wp:posOffset>
              </wp:positionH>
              <wp:positionV relativeFrom="page">
                <wp:posOffset>602615</wp:posOffset>
              </wp:positionV>
              <wp:extent cx="5262880" cy="420370"/>
              <wp:effectExtent l="0" t="0" r="0" b="0"/>
              <wp:wrapNone/>
              <wp:docPr id="160914688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62880" cy="420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4E2C08C" w14:textId="49625371" w:rsidR="00715B34" w:rsidRDefault="00132DA0">
                          <w:pPr>
                            <w:spacing w:line="305" w:lineRule="exact"/>
                            <w:ind w:left="82" w:right="8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6B3E"/>
                              <w:sz w:val="28"/>
                            </w:rPr>
                            <w:t>SUMMARY</w:t>
                          </w:r>
                          <w:r>
                            <w:rPr>
                              <w:b/>
                              <w:color w:val="006B3E"/>
                              <w:spacing w:val="5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B3E"/>
                              <w:sz w:val="28"/>
                            </w:rPr>
                            <w:t>OF</w:t>
                          </w:r>
                          <w:r>
                            <w:rPr>
                              <w:b/>
                              <w:color w:val="006B3E"/>
                              <w:spacing w:val="6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B3E"/>
                              <w:sz w:val="28"/>
                            </w:rPr>
                            <w:t>FY202</w:t>
                          </w:r>
                          <w:r w:rsidR="00B84A32">
                            <w:rPr>
                              <w:b/>
                              <w:color w:val="006B3E"/>
                              <w:sz w:val="28"/>
                            </w:rPr>
                            <w:t>5</w:t>
                          </w:r>
                          <w:r>
                            <w:rPr>
                              <w:b/>
                              <w:color w:val="006B3E"/>
                              <w:spacing w:val="6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B3E"/>
                              <w:sz w:val="28"/>
                            </w:rPr>
                            <w:t>ADMISSIONS</w:t>
                          </w:r>
                          <w:r>
                            <w:rPr>
                              <w:b/>
                              <w:color w:val="006B3E"/>
                              <w:spacing w:val="6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B3E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006B3E"/>
                              <w:spacing w:val="6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B3E"/>
                              <w:sz w:val="28"/>
                            </w:rPr>
                            <w:t>CONTINUED</w:t>
                          </w:r>
                          <w:r>
                            <w:rPr>
                              <w:b/>
                              <w:color w:val="006B3E"/>
                              <w:spacing w:val="60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B3E"/>
                              <w:spacing w:val="-2"/>
                              <w:sz w:val="28"/>
                            </w:rPr>
                            <w:t>OCCUPANCY</w:t>
                          </w:r>
                        </w:p>
                        <w:p w14:paraId="7A018436" w14:textId="77777777" w:rsidR="00715B34" w:rsidRDefault="00132DA0">
                          <w:pPr>
                            <w:ind w:left="81" w:right="82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6B3E"/>
                              <w:sz w:val="28"/>
                            </w:rPr>
                            <w:t>POLICY</w:t>
                          </w:r>
                          <w:r>
                            <w:rPr>
                              <w:b/>
                              <w:color w:val="006B3E"/>
                              <w:spacing w:val="5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B3E"/>
                              <w:sz w:val="28"/>
                            </w:rPr>
                            <w:t>(ACOP)</w:t>
                          </w:r>
                          <w:r>
                            <w:rPr>
                              <w:b/>
                              <w:color w:val="006B3E"/>
                              <w:spacing w:val="6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6B3E"/>
                              <w:spacing w:val="-2"/>
                              <w:sz w:val="28"/>
                            </w:rPr>
                            <w:t>UPDATES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970E9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.25pt;margin-top:47.45pt;width:414.4pt;height:33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" filled="f" stroked="f">
              <v:textbox inset="0,0,0,0">
                <w:txbxContent>
                  <w:p w14:paraId="34E2C08C" w14:textId="49625371" w:rsidR="00715B34" w:rsidRDefault="00132DA0">
                    <w:pPr>
                      <w:spacing w:line="305" w:lineRule="exact"/>
                      <w:ind w:left="82" w:right="8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6B3E"/>
                        <w:sz w:val="28"/>
                      </w:rPr>
                      <w:t>SUMMARY</w:t>
                    </w:r>
                    <w:r>
                      <w:rPr>
                        <w:b/>
                        <w:color w:val="006B3E"/>
                        <w:spacing w:val="5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B3E"/>
                        <w:sz w:val="28"/>
                      </w:rPr>
                      <w:t>OF</w:t>
                    </w:r>
                    <w:r>
                      <w:rPr>
                        <w:b/>
                        <w:color w:val="006B3E"/>
                        <w:spacing w:val="6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B3E"/>
                        <w:sz w:val="28"/>
                      </w:rPr>
                      <w:t>FY202</w:t>
                    </w:r>
                    <w:r w:rsidR="00B84A32">
                      <w:rPr>
                        <w:b/>
                        <w:color w:val="006B3E"/>
                        <w:sz w:val="28"/>
                      </w:rPr>
                      <w:t>5</w:t>
                    </w:r>
                    <w:r>
                      <w:rPr>
                        <w:b/>
                        <w:color w:val="006B3E"/>
                        <w:spacing w:val="6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B3E"/>
                        <w:sz w:val="28"/>
                      </w:rPr>
                      <w:t>ADMISSIONS</w:t>
                    </w:r>
                    <w:r>
                      <w:rPr>
                        <w:b/>
                        <w:color w:val="006B3E"/>
                        <w:spacing w:val="6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B3E"/>
                        <w:sz w:val="28"/>
                      </w:rPr>
                      <w:t>AND</w:t>
                    </w:r>
                    <w:r>
                      <w:rPr>
                        <w:b/>
                        <w:color w:val="006B3E"/>
                        <w:spacing w:val="6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B3E"/>
                        <w:sz w:val="28"/>
                      </w:rPr>
                      <w:t>CONTINUED</w:t>
                    </w:r>
                    <w:r>
                      <w:rPr>
                        <w:b/>
                        <w:color w:val="006B3E"/>
                        <w:spacing w:val="60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B3E"/>
                        <w:spacing w:val="-2"/>
                        <w:sz w:val="28"/>
                      </w:rPr>
                      <w:t>OCCUPANCY</w:t>
                    </w:r>
                  </w:p>
                  <w:p w14:paraId="7A018436" w14:textId="77777777" w:rsidR="00715B34" w:rsidRDefault="00132DA0">
                    <w:pPr>
                      <w:ind w:left="81" w:right="82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6B3E"/>
                        <w:sz w:val="28"/>
                      </w:rPr>
                      <w:t>POLICY</w:t>
                    </w:r>
                    <w:r>
                      <w:rPr>
                        <w:b/>
                        <w:color w:val="006B3E"/>
                        <w:spacing w:val="59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B3E"/>
                        <w:sz w:val="28"/>
                      </w:rPr>
                      <w:t>(ACOP)</w:t>
                    </w:r>
                    <w:r>
                      <w:rPr>
                        <w:b/>
                        <w:color w:val="006B3E"/>
                        <w:spacing w:val="62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6B3E"/>
                        <w:spacing w:val="-2"/>
                        <w:sz w:val="28"/>
                      </w:rPr>
                      <w:t>UPDATES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34"/>
    <w:rsid w:val="000057C7"/>
    <w:rsid w:val="00051538"/>
    <w:rsid w:val="00085A9A"/>
    <w:rsid w:val="00087146"/>
    <w:rsid w:val="000A01F1"/>
    <w:rsid w:val="000A1189"/>
    <w:rsid w:val="000B3737"/>
    <w:rsid w:val="000C18F3"/>
    <w:rsid w:val="000D0030"/>
    <w:rsid w:val="000E0A1B"/>
    <w:rsid w:val="000F06B4"/>
    <w:rsid w:val="000F19D6"/>
    <w:rsid w:val="000F1B3B"/>
    <w:rsid w:val="001230B8"/>
    <w:rsid w:val="0012324C"/>
    <w:rsid w:val="00132DA0"/>
    <w:rsid w:val="0013672E"/>
    <w:rsid w:val="00147788"/>
    <w:rsid w:val="00155599"/>
    <w:rsid w:val="00163834"/>
    <w:rsid w:val="001821D2"/>
    <w:rsid w:val="001A675D"/>
    <w:rsid w:val="001A6B43"/>
    <w:rsid w:val="001B3415"/>
    <w:rsid w:val="001C6862"/>
    <w:rsid w:val="001C753A"/>
    <w:rsid w:val="001E4160"/>
    <w:rsid w:val="00203F83"/>
    <w:rsid w:val="002319CA"/>
    <w:rsid w:val="00253841"/>
    <w:rsid w:val="002650A8"/>
    <w:rsid w:val="00265421"/>
    <w:rsid w:val="00274E89"/>
    <w:rsid w:val="002816F1"/>
    <w:rsid w:val="0029663F"/>
    <w:rsid w:val="002A00E9"/>
    <w:rsid w:val="002B0C12"/>
    <w:rsid w:val="002B6399"/>
    <w:rsid w:val="002E5F83"/>
    <w:rsid w:val="00304759"/>
    <w:rsid w:val="00314509"/>
    <w:rsid w:val="00330CC9"/>
    <w:rsid w:val="00333666"/>
    <w:rsid w:val="0033452D"/>
    <w:rsid w:val="003418D0"/>
    <w:rsid w:val="00357F5B"/>
    <w:rsid w:val="00371E4E"/>
    <w:rsid w:val="003976C8"/>
    <w:rsid w:val="0039790D"/>
    <w:rsid w:val="003A0828"/>
    <w:rsid w:val="003B4EB1"/>
    <w:rsid w:val="003C16FB"/>
    <w:rsid w:val="003C5C73"/>
    <w:rsid w:val="003F038F"/>
    <w:rsid w:val="00401E8E"/>
    <w:rsid w:val="0040526A"/>
    <w:rsid w:val="00422382"/>
    <w:rsid w:val="00431A2A"/>
    <w:rsid w:val="00440A78"/>
    <w:rsid w:val="004508FF"/>
    <w:rsid w:val="004543F2"/>
    <w:rsid w:val="004D100C"/>
    <w:rsid w:val="004D2363"/>
    <w:rsid w:val="004D401B"/>
    <w:rsid w:val="004E0F81"/>
    <w:rsid w:val="004E5C59"/>
    <w:rsid w:val="00500B28"/>
    <w:rsid w:val="00506B4E"/>
    <w:rsid w:val="00514532"/>
    <w:rsid w:val="00523F2D"/>
    <w:rsid w:val="005626C4"/>
    <w:rsid w:val="00574AC6"/>
    <w:rsid w:val="0058496C"/>
    <w:rsid w:val="005862C9"/>
    <w:rsid w:val="00592DD1"/>
    <w:rsid w:val="005B4B6E"/>
    <w:rsid w:val="005B5A0F"/>
    <w:rsid w:val="005B79DA"/>
    <w:rsid w:val="005C10DF"/>
    <w:rsid w:val="005D56BE"/>
    <w:rsid w:val="0060238F"/>
    <w:rsid w:val="00617BDE"/>
    <w:rsid w:val="00622116"/>
    <w:rsid w:val="006239AE"/>
    <w:rsid w:val="00640A18"/>
    <w:rsid w:val="0065149C"/>
    <w:rsid w:val="0065717D"/>
    <w:rsid w:val="00662036"/>
    <w:rsid w:val="006805BD"/>
    <w:rsid w:val="00680BA4"/>
    <w:rsid w:val="006A1774"/>
    <w:rsid w:val="006C5BB4"/>
    <w:rsid w:val="006E237D"/>
    <w:rsid w:val="00702FDC"/>
    <w:rsid w:val="007032D0"/>
    <w:rsid w:val="007117AE"/>
    <w:rsid w:val="007125FB"/>
    <w:rsid w:val="00715B34"/>
    <w:rsid w:val="00757CB2"/>
    <w:rsid w:val="00765286"/>
    <w:rsid w:val="007774A0"/>
    <w:rsid w:val="00787E80"/>
    <w:rsid w:val="00791210"/>
    <w:rsid w:val="00794937"/>
    <w:rsid w:val="0079506D"/>
    <w:rsid w:val="00795D34"/>
    <w:rsid w:val="007A7792"/>
    <w:rsid w:val="007B562D"/>
    <w:rsid w:val="007C3608"/>
    <w:rsid w:val="00806965"/>
    <w:rsid w:val="00814234"/>
    <w:rsid w:val="008271A2"/>
    <w:rsid w:val="00827833"/>
    <w:rsid w:val="00855C55"/>
    <w:rsid w:val="008743F6"/>
    <w:rsid w:val="00891D8F"/>
    <w:rsid w:val="008A1B6D"/>
    <w:rsid w:val="008A7B29"/>
    <w:rsid w:val="008C3B08"/>
    <w:rsid w:val="009205C0"/>
    <w:rsid w:val="00922DB4"/>
    <w:rsid w:val="0093063D"/>
    <w:rsid w:val="0093741C"/>
    <w:rsid w:val="009472E8"/>
    <w:rsid w:val="00954940"/>
    <w:rsid w:val="00954CE4"/>
    <w:rsid w:val="00962267"/>
    <w:rsid w:val="009732C4"/>
    <w:rsid w:val="009823E0"/>
    <w:rsid w:val="009864E8"/>
    <w:rsid w:val="009872D8"/>
    <w:rsid w:val="009A218D"/>
    <w:rsid w:val="009E0D5F"/>
    <w:rsid w:val="009E6FDB"/>
    <w:rsid w:val="00A1191A"/>
    <w:rsid w:val="00A26AA4"/>
    <w:rsid w:val="00A279BF"/>
    <w:rsid w:val="00A31244"/>
    <w:rsid w:val="00A322A9"/>
    <w:rsid w:val="00A32957"/>
    <w:rsid w:val="00A349D5"/>
    <w:rsid w:val="00A611DD"/>
    <w:rsid w:val="00A9116A"/>
    <w:rsid w:val="00AA61FD"/>
    <w:rsid w:val="00AC4E11"/>
    <w:rsid w:val="00AF261A"/>
    <w:rsid w:val="00B03D2B"/>
    <w:rsid w:val="00B33A8C"/>
    <w:rsid w:val="00B552B8"/>
    <w:rsid w:val="00B62B32"/>
    <w:rsid w:val="00B64C26"/>
    <w:rsid w:val="00B84A32"/>
    <w:rsid w:val="00BE08D2"/>
    <w:rsid w:val="00BE61B5"/>
    <w:rsid w:val="00C05811"/>
    <w:rsid w:val="00C21ED5"/>
    <w:rsid w:val="00C26B70"/>
    <w:rsid w:val="00C27337"/>
    <w:rsid w:val="00C34FA0"/>
    <w:rsid w:val="00C60DD7"/>
    <w:rsid w:val="00C62245"/>
    <w:rsid w:val="00C664EE"/>
    <w:rsid w:val="00C66B74"/>
    <w:rsid w:val="00C67644"/>
    <w:rsid w:val="00C96577"/>
    <w:rsid w:val="00CD28DB"/>
    <w:rsid w:val="00CD345E"/>
    <w:rsid w:val="00D101A5"/>
    <w:rsid w:val="00D21921"/>
    <w:rsid w:val="00D24FBB"/>
    <w:rsid w:val="00D273EA"/>
    <w:rsid w:val="00D51B7C"/>
    <w:rsid w:val="00D55EA1"/>
    <w:rsid w:val="00D87FF7"/>
    <w:rsid w:val="00DB6D12"/>
    <w:rsid w:val="00DC3FC9"/>
    <w:rsid w:val="00DC510B"/>
    <w:rsid w:val="00DC5D27"/>
    <w:rsid w:val="00DD2B46"/>
    <w:rsid w:val="00DD534D"/>
    <w:rsid w:val="00E4348E"/>
    <w:rsid w:val="00E52F12"/>
    <w:rsid w:val="00E8545F"/>
    <w:rsid w:val="00E87371"/>
    <w:rsid w:val="00ED397C"/>
    <w:rsid w:val="00EE15A7"/>
    <w:rsid w:val="00F203FD"/>
    <w:rsid w:val="00F2510D"/>
    <w:rsid w:val="00F45D47"/>
    <w:rsid w:val="00F570E8"/>
    <w:rsid w:val="00F71CFE"/>
    <w:rsid w:val="00F81BE5"/>
    <w:rsid w:val="00FB56E0"/>
    <w:rsid w:val="00FD2EFF"/>
    <w:rsid w:val="00FF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40A67896"/>
  <w15:docId w15:val="{F4ADD803-911B-433D-9A0B-05BDB480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6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81" w:right="8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54C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4CE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54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4CE4"/>
    <w:rPr>
      <w:rFonts w:ascii="Calibri" w:eastAsia="Calibri" w:hAnsi="Calibri" w:cs="Calibri"/>
    </w:rPr>
  </w:style>
  <w:style w:type="paragraph" w:styleId="Revision">
    <w:name w:val="Revision"/>
    <w:hidden/>
    <w:uiPriority w:val="99"/>
    <w:semiHidden/>
    <w:rsid w:val="009872D8"/>
    <w:pPr>
      <w:widowControl/>
      <w:autoSpaceDE/>
      <w:autoSpaceDN/>
    </w:pPr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662036"/>
  </w:style>
  <w:style w:type="paragraph" w:customStyle="1" w:styleId="Footer1">
    <w:name w:val="Footer1"/>
    <w:basedOn w:val="Normal"/>
    <w:next w:val="Footer"/>
    <w:uiPriority w:val="99"/>
    <w:unhideWhenUsed/>
    <w:rsid w:val="005B79DA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79DA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79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B79DA"/>
    <w:rPr>
      <w:vertAlign w:val="superscript"/>
    </w:rPr>
  </w:style>
  <w:style w:type="paragraph" w:customStyle="1" w:styleId="Default">
    <w:name w:val="Default"/>
    <w:rsid w:val="0029663F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9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93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B0328B8C905C418ED589D4D2D5096E" ma:contentTypeVersion="4" ma:contentTypeDescription="Create a new document." ma:contentTypeScope="" ma:versionID="2f0334d0adc137fb4854c19ead3590a1">
  <xsd:schema xmlns:xsd="http://www.w3.org/2001/XMLSchema" xmlns:xs="http://www.w3.org/2001/XMLSchema" xmlns:p="http://schemas.microsoft.com/office/2006/metadata/properties" xmlns:ns2="aca0fd7c-1644-4317-b3cf-eee3c9aec0f0" xmlns:ns3="e0cd2994-7cfc-457c-a553-d509f5f1366a" targetNamespace="http://schemas.microsoft.com/office/2006/metadata/properties" ma:root="true" ma:fieldsID="cb41ff86d8b5274eab34f946e02f0f10" ns2:_="" ns3:_="">
    <xsd:import namespace="aca0fd7c-1644-4317-b3cf-eee3c9aec0f0"/>
    <xsd:import namespace="e0cd2994-7cfc-457c-a553-d509f5f1366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0fd7c-1644-4317-b3cf-eee3c9aec0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d2994-7cfc-457c-a553-d509f5f136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DB4326-F811-458E-9D1D-7D9B33FD6A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0D4724-C43F-4A6D-9EA8-5F29747F5F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0fd7c-1644-4317-b3cf-eee3c9aec0f0"/>
    <ds:schemaRef ds:uri="e0cd2994-7cfc-457c-a553-d509f5f136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614671-BF32-4D81-94A4-A047496BA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2617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Ansari, Farah</dc:creator>
  <cp:keywords/>
  <dc:description/>
  <cp:lastModifiedBy>Howard, Bridget T</cp:lastModifiedBy>
  <cp:revision>2</cp:revision>
  <cp:lastPrinted>2025-05-01T18:59:00Z</cp:lastPrinted>
  <dcterms:created xsi:type="dcterms:W3CDTF">2025-05-01T21:43:00Z</dcterms:created>
  <dcterms:modified xsi:type="dcterms:W3CDTF">2025-05-01T21:43:00Z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0x0101002EB0328B8C905C418ED589D4D2D5096E</vt:lpwstr>
  </property>
  <property fmtid="{D5CDD505-2E9C-101B-9397-08002B2CF9AE}" pid="3" name="Created">
    <vt:filetime>2022-04-20T00:00:00Z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2023-06-26T00:00:00Z</vt:filetime>
  </property>
  <property fmtid="{D5CDD505-2E9C-101B-9397-08002B2CF9AE}" pid="6" name="Producer">
    <vt:lpwstr>Adobe PDF Library 22.1.149</vt:lpwstr>
  </property>
  <property fmtid="{D5CDD505-2E9C-101B-9397-08002B2CF9AE}" pid="7" name="SourceModified">
    <vt:lpwstr/>
  </property>
</Properties>
</file>